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附件2：</w:t>
      </w:r>
    </w:p>
    <w:p>
      <w:pPr>
        <w:widowControl/>
        <w:snapToGrid w:val="0"/>
        <w:spacing w:line="540" w:lineRule="atLeast"/>
        <w:jc w:val="cente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吉林医药学院班主任工作考核表（自评、学院及辅导员评议用）</w:t>
      </w:r>
    </w:p>
    <w:p>
      <w:pPr>
        <w:widowControl/>
        <w:snapToGrid w:val="0"/>
        <w:spacing w:line="540" w:lineRule="atLeast"/>
        <w:ind w:firstLine="570"/>
        <w:rPr>
          <w:rFonts w:hint="eastAsia" w:ascii="仿宋_GB2312" w:hAnsi="宋体" w:eastAsia="仿宋_GB2312" w:cs="宋体"/>
          <w:b/>
          <w:bCs/>
          <w:kern w:val="0"/>
          <w:sz w:val="10"/>
          <w:szCs w:val="10"/>
        </w:rPr>
      </w:pPr>
    </w:p>
    <w:tbl>
      <w:tblPr>
        <w:tblStyle w:val="5"/>
        <w:tblW w:w="8522" w:type="dxa"/>
        <w:jc w:val="center"/>
        <w:tblInd w:w="0" w:type="dxa"/>
        <w:tblLayout w:type="fixed"/>
        <w:tblCellMar>
          <w:top w:w="0" w:type="dxa"/>
          <w:left w:w="108" w:type="dxa"/>
          <w:bottom w:w="0" w:type="dxa"/>
          <w:right w:w="108" w:type="dxa"/>
        </w:tblCellMar>
      </w:tblPr>
      <w:tblGrid>
        <w:gridCol w:w="1726"/>
        <w:gridCol w:w="1802"/>
        <w:gridCol w:w="3172"/>
        <w:gridCol w:w="643"/>
        <w:gridCol w:w="1179"/>
      </w:tblGrid>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姓 名</w:t>
            </w:r>
          </w:p>
        </w:tc>
        <w:tc>
          <w:tcPr>
            <w:tcW w:w="180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28"/>
                <w:szCs w:val="28"/>
              </w:rPr>
            </w:pPr>
          </w:p>
        </w:tc>
        <w:tc>
          <w:tcPr>
            <w:tcW w:w="3815" w:type="dxa"/>
            <w:gridSpan w:val="2"/>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所属学院</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所带学生</w:t>
            </w:r>
          </w:p>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专  业</w:t>
            </w:r>
          </w:p>
        </w:tc>
        <w:tc>
          <w:tcPr>
            <w:tcW w:w="180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28"/>
                <w:szCs w:val="28"/>
              </w:rPr>
            </w:pPr>
          </w:p>
        </w:tc>
        <w:tc>
          <w:tcPr>
            <w:tcW w:w="3815" w:type="dxa"/>
            <w:gridSpan w:val="2"/>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所带学生班级及人数</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指标内容</w:t>
            </w:r>
          </w:p>
        </w:tc>
        <w:tc>
          <w:tcPr>
            <w:tcW w:w="4974" w:type="dxa"/>
            <w:gridSpan w:val="2"/>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考核依据</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分值</w:t>
            </w:r>
          </w:p>
        </w:tc>
        <w:tc>
          <w:tcPr>
            <w:tcW w:w="1179"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b/>
                <w:bCs/>
                <w:kern w:val="0"/>
                <w:sz w:val="28"/>
                <w:szCs w:val="28"/>
              </w:rPr>
              <w:t>评分</w:t>
            </w: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德育教育</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引导学生树立正确的世界观、人生观、价值观，坚定理想信念，提高政治觉悟，明辨是非、善恶、美丑。</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w:t>
            </w:r>
          </w:p>
          <w:p>
            <w:pPr>
              <w:widowControl/>
              <w:spacing w:line="320" w:lineRule="atLeast"/>
              <w:jc w:val="center"/>
              <w:rPr>
                <w:rFonts w:ascii="宋体" w:hAnsi="宋体" w:cs="宋体"/>
                <w:kern w:val="0"/>
                <w:sz w:val="28"/>
                <w:szCs w:val="28"/>
              </w:rPr>
            </w:pP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学风建设</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对所带班级学风状况清楚，能定期开展学风教育活动，跟班听课，培树优良学风。</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15</w:t>
            </w:r>
          </w:p>
          <w:p>
            <w:pPr>
              <w:widowControl/>
              <w:spacing w:line="320" w:lineRule="atLeast"/>
              <w:jc w:val="center"/>
              <w:rPr>
                <w:rFonts w:ascii="宋体" w:hAnsi="宋体" w:cs="宋体"/>
                <w:kern w:val="0"/>
                <w:sz w:val="28"/>
                <w:szCs w:val="28"/>
              </w:rPr>
            </w:pP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学习情况</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开展专业教育，</w:t>
            </w:r>
            <w:r>
              <w:rPr>
                <w:rFonts w:ascii="仿宋_GB2312" w:hAnsi="宋体" w:eastAsia="仿宋_GB2312" w:cs="宋体"/>
                <w:kern w:val="0"/>
                <w:sz w:val="28"/>
                <w:szCs w:val="28"/>
              </w:rPr>
              <w:t>培养学生学习兴趣，指导学生养成良好学习习惯，增强学生的专业认同和学习热情</w:t>
            </w:r>
            <w:r>
              <w:rPr>
                <w:rFonts w:hint="eastAsia" w:ascii="仿宋_GB2312" w:hAnsi="宋体" w:eastAsia="仿宋_GB2312" w:cs="宋体"/>
                <w:kern w:val="0"/>
                <w:sz w:val="28"/>
                <w:szCs w:val="28"/>
              </w:rPr>
              <w:t>。班级学习氛围浓厚，考试优秀率高，不及格率低于10%。</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w:t>
            </w:r>
          </w:p>
          <w:p>
            <w:pPr>
              <w:widowControl/>
              <w:spacing w:line="320" w:lineRule="atLeast"/>
              <w:jc w:val="center"/>
              <w:rPr>
                <w:rFonts w:hint="eastAsia" w:ascii="宋体" w:hAnsi="宋体" w:cs="宋体"/>
                <w:kern w:val="0"/>
                <w:sz w:val="28"/>
                <w:szCs w:val="28"/>
              </w:rPr>
            </w:pP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科技活动</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指导学生积极参加科技创新活动，所带班级科研学术氛围浓厚。</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10</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自主创新</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在开展思想引导、学业指导、就业指导、职业生涯规划、学风建设等工作中，有创新的方法和途径，效果显著。</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10</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班主任意识</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积极参加班级活动，认真落实学校及学院安排的工作，完成情况良好。主动与</w:t>
            </w:r>
          </w:p>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辅导员联系、配合，经常交换看法，统一意见。</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15</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计划与总结</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ascii="宋体" w:hAnsi="宋体" w:cs="宋体"/>
                <w:kern w:val="0"/>
                <w:sz w:val="28"/>
                <w:szCs w:val="28"/>
              </w:rPr>
            </w:pPr>
            <w:r>
              <w:rPr>
                <w:rFonts w:hint="eastAsia" w:ascii="仿宋_GB2312" w:hAnsi="宋体" w:eastAsia="仿宋_GB2312" w:cs="宋体"/>
                <w:kern w:val="0"/>
                <w:sz w:val="28"/>
                <w:szCs w:val="28"/>
              </w:rPr>
              <w:t>每学期初，指导班团干部做好班团工作计划和预期达到目标，认真做班主任工作记录，有详细的工作计划和工作总结。</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s="宋体"/>
                <w:kern w:val="0"/>
                <w:sz w:val="28"/>
                <w:szCs w:val="28"/>
              </w:rPr>
            </w:pPr>
            <w:r>
              <w:rPr>
                <w:rFonts w:hint="eastAsia" w:ascii="仿宋_GB2312" w:hAnsi="宋体" w:eastAsia="仿宋_GB2312" w:cs="宋体"/>
                <w:kern w:val="0"/>
                <w:sz w:val="28"/>
                <w:szCs w:val="28"/>
              </w:rPr>
              <w:t>10</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联系学生</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定期召开班会，总结分析班级情况。定期深入学生学习、生活场所，与学生谈话了解情况，每学期与每名同学有交流。关心双困生（学习困难、经济困难）。</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trHeight w:val="2107"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妥善处理</w:t>
            </w:r>
          </w:p>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问题</w:t>
            </w:r>
          </w:p>
        </w:tc>
        <w:tc>
          <w:tcPr>
            <w:tcW w:w="4974" w:type="dxa"/>
            <w:gridSpan w:val="2"/>
            <w:tcBorders>
              <w:top w:val="single" w:color="000000" w:sz="4" w:space="0"/>
              <w:left w:val="nil"/>
              <w:bottom w:val="single" w:color="000000" w:sz="4" w:space="0"/>
              <w:right w:val="single" w:color="000000" w:sz="4" w:space="0"/>
            </w:tcBorders>
            <w:vAlign w:val="top"/>
          </w:tcPr>
          <w:p>
            <w:pPr>
              <w:widowControl/>
              <w:spacing w:line="32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加强学生的教育和管理，及时发现学生中的突发事件及平时学习、生活中的问题，并向辅导员、家长和学院反映。学生无违纪。</w:t>
            </w:r>
          </w:p>
        </w:tc>
        <w:tc>
          <w:tcPr>
            <w:tcW w:w="643"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1179" w:type="dxa"/>
            <w:tcBorders>
              <w:top w:val="single" w:color="000000" w:sz="4" w:space="0"/>
              <w:left w:val="nil"/>
              <w:bottom w:val="single" w:color="000000" w:sz="4" w:space="0"/>
              <w:right w:val="single" w:color="000000" w:sz="4" w:space="0"/>
            </w:tcBorders>
            <w:vAlign w:val="top"/>
          </w:tcPr>
          <w:p>
            <w:pPr>
              <w:widowControl/>
              <w:jc w:val="left"/>
              <w:rPr>
                <w:rFonts w:ascii="宋体" w:hAnsi="宋体" w:cs="宋体"/>
                <w:kern w:val="0"/>
                <w:sz w:val="28"/>
                <w:szCs w:val="28"/>
              </w:rPr>
            </w:pPr>
          </w:p>
        </w:tc>
      </w:tr>
      <w:tr>
        <w:tblPrEx>
          <w:tblLayout w:type="fixed"/>
          <w:tblCellMar>
            <w:top w:w="0" w:type="dxa"/>
            <w:left w:w="108" w:type="dxa"/>
            <w:bottom w:w="0" w:type="dxa"/>
            <w:right w:w="108" w:type="dxa"/>
          </w:tblCellMar>
        </w:tblPrEx>
        <w:trPr>
          <w:jc w:val="center"/>
        </w:trPr>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hint="eastAsia" w:ascii="宋体" w:hAnsi="宋体" w:cs="宋体"/>
                <w:kern w:val="0"/>
                <w:sz w:val="28"/>
                <w:szCs w:val="28"/>
              </w:rPr>
            </w:pPr>
            <w:r>
              <w:rPr>
                <w:rFonts w:hint="eastAsia" w:ascii="仿宋_GB2312" w:hAnsi="宋体" w:eastAsia="仿宋_GB2312" w:cs="宋体"/>
                <w:kern w:val="0"/>
                <w:sz w:val="28"/>
                <w:szCs w:val="28"/>
              </w:rPr>
              <w:t>总分</w:t>
            </w:r>
          </w:p>
        </w:tc>
        <w:tc>
          <w:tcPr>
            <w:tcW w:w="6796"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28"/>
                <w:szCs w:val="28"/>
              </w:rPr>
            </w:pPr>
          </w:p>
        </w:tc>
      </w:tr>
    </w:tbl>
    <w:p>
      <w:pPr>
        <w:jc w:val="both"/>
      </w:pPr>
      <w:r>
        <w:rPr>
          <w:rFonts w:hint="eastAsia" w:ascii="仿宋_GB2312" w:eastAsia="仿宋_GB2312"/>
          <w:bCs/>
          <w:color w:val="000000"/>
          <w:sz w:val="32"/>
          <w:szCs w:val="32"/>
        </w:rPr>
        <w:br w:type="page"/>
      </w:r>
      <w:bookmarkStart w:id="0" w:name="_GoBack"/>
      <w:bookmarkEnd w:id="0"/>
    </w:p>
    <w:sectPr>
      <w:footerReference r:id="rId3" w:type="default"/>
      <w:footerReference r:id="rId4" w:type="even"/>
      <w:pgSz w:w="11906" w:h="16838"/>
      <w:pgMar w:top="2041" w:right="1531" w:bottom="2041" w:left="1531" w:header="0" w:footer="1417"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简体">
    <w:altName w:val="宋体"/>
    <w:panose1 w:val="03000509000000000000"/>
    <w:charset w:val="86"/>
    <w:family w:val="script"/>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Fonts w:ascii="宋体" w:hAnsi="宋体"/>
        <w:sz w:val="28"/>
        <w:szCs w:val="28"/>
      </w:rPr>
    </w:pP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- 6 -</w:t>
    </w:r>
    <w:r>
      <w:rPr>
        <w:rFonts w:ascii="宋体" w:hAnsi="宋体"/>
        <w:sz w:val="28"/>
        <w:szCs w:val="28"/>
      </w:rPr>
      <w:fldChar w:fldCharType="end"/>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91304"/>
    <w:rsid w:val="1DEB47D6"/>
    <w:rsid w:val="279F022B"/>
    <w:rsid w:val="29283675"/>
    <w:rsid w:val="2C457555"/>
    <w:rsid w:val="56BC250A"/>
    <w:rsid w:val="627A01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2016-12-22T01:16:58Z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