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720" w:firstLineChars="200"/>
        <w:jc w:val="both"/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吉林省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大学生网络文化节工作方案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883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作品征集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本次文化节共征集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视频、微电影、动漫、摄影、网文、公益广告、音频、校园歌曲、其他类网络创新作品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类作品。所有作品须为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日至提交截止日期间在网络上发表的作品。征集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时间为202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日至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日。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）微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  <w:shd w:val="clear"/>
        </w:rPr>
        <w:t>视频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类型分为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纪实纪录、卡通动漫、创新创意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征集。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MP4，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画面清晰，声音清楚，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内容配字幕，时长不超过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分钟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超出时长将取消参评资格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。为保证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上传顺畅，文件建议不超过6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00MB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作品数量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每校上述3类作品，每类限推荐作品2件，可报送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</w:rPr>
        <w:t>）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微电影作品</w:t>
      </w:r>
    </w:p>
    <w:p>
      <w:pPr>
        <w:pStyle w:val="31"/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作品要求：类型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分为</w:t>
      </w:r>
      <w:r>
        <w:rPr>
          <w:rFonts w:hint="eastAsia"/>
          <w:b w:val="0"/>
          <w:bCs w:val="0"/>
          <w:sz w:val="32"/>
          <w:szCs w:val="32"/>
        </w:rPr>
        <w:t>剧情类和综合类（不含动漫）</w:t>
      </w:r>
      <w:r>
        <w:rPr>
          <w:rFonts w:hint="eastAsia"/>
          <w:b w:val="0"/>
          <w:bCs w:val="0"/>
          <w:sz w:val="32"/>
          <w:szCs w:val="32"/>
          <w:lang w:eastAsia="zh-CN"/>
        </w:rPr>
        <w:t>，</w:t>
      </w:r>
      <w:r>
        <w:rPr>
          <w:rFonts w:hint="eastAsia"/>
          <w:b w:val="0"/>
          <w:bCs w:val="0"/>
          <w:sz w:val="32"/>
          <w:szCs w:val="32"/>
        </w:rPr>
        <w:t>须为原创</w:t>
      </w:r>
      <w:r>
        <w:rPr>
          <w:rFonts w:hint="eastAsia"/>
          <w:b w:val="0"/>
          <w:bCs w:val="0"/>
          <w:sz w:val="32"/>
          <w:szCs w:val="32"/>
          <w:lang w:eastAsia="zh-CN"/>
        </w:rPr>
        <w:t>。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文件为</w:t>
      </w:r>
      <w:r>
        <w:rPr>
          <w:b w:val="0"/>
          <w:bCs w:val="0"/>
          <w:sz w:val="32"/>
          <w:szCs w:val="32"/>
        </w:rPr>
        <w:t>AVI</w:t>
      </w:r>
      <w:r>
        <w:rPr>
          <w:rFonts w:hint="eastAsia"/>
          <w:b w:val="0"/>
          <w:bCs w:val="0"/>
          <w:sz w:val="32"/>
          <w:szCs w:val="32"/>
        </w:rPr>
        <w:t>、</w:t>
      </w:r>
      <w:r>
        <w:rPr>
          <w:b w:val="0"/>
          <w:bCs w:val="0"/>
          <w:sz w:val="32"/>
          <w:szCs w:val="32"/>
        </w:rPr>
        <w:t>MOV</w:t>
      </w:r>
      <w:r>
        <w:rPr>
          <w:rFonts w:hint="eastAsia"/>
          <w:b w:val="0"/>
          <w:bCs w:val="0"/>
          <w:sz w:val="32"/>
          <w:szCs w:val="32"/>
        </w:rPr>
        <w:t>、</w:t>
      </w:r>
      <w:r>
        <w:rPr>
          <w:b w:val="0"/>
          <w:bCs w:val="0"/>
          <w:sz w:val="32"/>
          <w:szCs w:val="32"/>
        </w:rPr>
        <w:t>MP4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格式的原始作品</w:t>
      </w:r>
      <w:r>
        <w:rPr>
          <w:rFonts w:hint="eastAsia"/>
          <w:b w:val="0"/>
          <w:bCs w:val="0"/>
          <w:sz w:val="32"/>
          <w:szCs w:val="32"/>
        </w:rPr>
        <w:t>，分辨率不小于</w:t>
      </w:r>
      <w:r>
        <w:rPr>
          <w:b w:val="0"/>
          <w:bCs w:val="0"/>
          <w:sz w:val="32"/>
          <w:szCs w:val="32"/>
        </w:rPr>
        <w:t>1920px</w:t>
      </w:r>
      <w:r>
        <w:rPr>
          <w:rFonts w:hint="eastAsia"/>
          <w:b w:val="0"/>
          <w:bCs w:val="0"/>
          <w:sz w:val="32"/>
          <w:szCs w:val="32"/>
        </w:rPr>
        <w:t>×</w:t>
      </w:r>
      <w:r>
        <w:rPr>
          <w:b w:val="0"/>
          <w:bCs w:val="0"/>
          <w:sz w:val="32"/>
          <w:szCs w:val="32"/>
        </w:rPr>
        <w:t>1080px</w:t>
      </w:r>
      <w:r>
        <w:rPr>
          <w:rFonts w:hint="eastAsia"/>
          <w:b w:val="0"/>
          <w:bCs w:val="0"/>
          <w:sz w:val="32"/>
          <w:szCs w:val="32"/>
        </w:rPr>
        <w:t>。时长原则上在</w:t>
      </w:r>
      <w:r>
        <w:rPr>
          <w:b w:val="0"/>
          <w:bCs w:val="0"/>
          <w:sz w:val="32"/>
          <w:szCs w:val="32"/>
        </w:rPr>
        <w:t>10</w:t>
      </w:r>
      <w:r>
        <w:rPr>
          <w:rFonts w:hint="eastAsia"/>
          <w:b w:val="0"/>
          <w:bCs w:val="0"/>
          <w:sz w:val="32"/>
          <w:szCs w:val="32"/>
        </w:rPr>
        <w:t>分钟以内，适合互联网传播。要求画面清晰，声音清楚，提倡标注字幕。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作品数量：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每校可推荐作品2件。每件作品作者限6人以内，可配1名指导教师。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）动漫作品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作品要求：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>类型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分为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>漫画作品和动画短片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两类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>。漫画作品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>四格漫画（以四个画面分格来完成一个小故事或一个创意的表现形式）或单幅插画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>画稿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>基于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A4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尺寸（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210mm×297mm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>纸张创作的作品，画稿四周保留各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2cm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>空白，要求画面清晰、标明页数；基于计算机或移动设备的新媒体作品，应符合手机动漫行业标准等规范。提交电子图片格式要求为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JPEG:RGB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图，分辨率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100DPI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（作品入选后，需另外提交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TIFF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>文件）。阅读顺序可根据个人习惯选择从左到右或从右到左，需要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在作品首页注明。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动画短片须为AVI、MOV、MP4格式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原始作品，分辨率不小于1920px×1080px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时长原则上在10分钟以内。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作品数量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每校可推荐作品2件。每件作品作者限6人以内，可配1名指导教师。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）摄影作品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作品要求：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</w:rPr>
        <w:t>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时代风貌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/>
        </w:rPr>
        <w:t>、校园风采、社会纪实、创意摄影4个类别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</w:rPr>
        <w:t>征集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单张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系列作品均可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系列作品视为1件作品，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不超过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张。以图片文件提交，格式为</w:t>
      </w:r>
      <w:bookmarkStart w:id="0" w:name="OLE_LINK1"/>
      <w:bookmarkStart w:id="1" w:name="OLE_LINK2"/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JPEG</w:t>
      </w:r>
      <w:bookmarkEnd w:id="0"/>
      <w:bookmarkEnd w:id="1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，保留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EXIF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作品数量：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每校可推荐作品4件。每幅（组）作品作者限1人，可配1名指导教师。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）</w:t>
      </w:r>
      <w:r>
        <w:rPr>
          <w:rFonts w:ascii="楷体_GB2312" w:hAnsi="Times New Roman" w:eastAsia="楷体_GB2312" w:cs="Times New Roman"/>
          <w:b w:val="0"/>
          <w:bCs w:val="0"/>
          <w:sz w:val="32"/>
          <w:szCs w:val="32"/>
        </w:rPr>
        <w:t>网文作品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青春梦想、时事评论、艺术文化、社会实践等角度，作品类别分为网络文章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网络文学作品。字数不超过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5000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字，可在文章中配图、表。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作品数量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每校可推荐作品3件。每件作品作者限1人，可配1名指导教师。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）公益广告</w:t>
      </w:r>
      <w:r>
        <w:rPr>
          <w:rFonts w:ascii="楷体_GB2312" w:hAnsi="Times New Roman" w:eastAsia="楷体_GB2312" w:cs="Times New Roman"/>
          <w:b w:val="0"/>
          <w:bCs w:val="0"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作品要求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类型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</w:rPr>
        <w:t>分为平面广告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</w:rPr>
        <w:t>视频广告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两类，要求内容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</w:rPr>
        <w:t>导向鲜明、富有内涵、鼓舞人心。平面广告含报纸杂志广告、海报设计、漫画等，提交图片文件，格式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JPEG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，色彩模式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RGB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，单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</w:rPr>
        <w:t>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图片大小在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以内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</w:rPr>
        <w:t>，系列作品不超过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3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</w:rPr>
        <w:t>幅。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视频广告含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、微电影、动画片等，提交视频文件，格式为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M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P4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，画面清晰，声音清楚，重点内容配字幕，时长小于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分钟，文件小于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200M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作品数量：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每校可推荐平面作品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件、视频作品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件。每件作品作者限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6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人以内，可配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）音频作品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作品要求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体裁不限，诗词、散文、故事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音频诵读作品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创意音频节目均可（不包含歌曲），鼓励原创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</w:rPr>
        <w:t>。作品统一采用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MP3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</w:rPr>
        <w:t>格式，时长不超过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</w:rPr>
        <w:t>分钟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超过时长将取消参评资格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，另须以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Word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形式提交音频文字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作品数量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每校可推荐作品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件。每件作品作者限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人以内，可配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（八）校园歌曲作品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作品要求：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类型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分为原创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和改编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两类。原创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指完全自主作词作曲的音乐作品，或借鉴部分（不超过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小节）现成作品的音乐元素创作的音乐作品；改编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指在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某歌曲作品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首发表演形式的基础上进行改编和创新的二度创作作品。所有作品可制作成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视频展示，利用互联网音乐或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平台增加网络人气，扩大影响力（详见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易班网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说明）。其中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原创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要在易班网上传完整的音频或视频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歌词和曲谱。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作品数量：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每校可推荐完全原创作品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件，改编作品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件，非原创作品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件。每件作品作者限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人以内，可配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（九）其他类网络创新作品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：类型分为长图、H5页面、微信推文三类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作品提交图片文件，格式为JPEG，文件小于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10MB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作品数量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每校上述3类作品，每类限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推荐作品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件。每件作品作者限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人以内，可配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作品提交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填写《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第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吉林省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大学生网络文化节作品征集信息表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》（附件2）和《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第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届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吉林省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大学生网络文化节作品征集汇总表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》（附件3），并由分管校领导签字、加盖推荐单位公章。</w:t>
      </w:r>
    </w:p>
    <w:p>
      <w:pPr>
        <w:keepNext w:val="0"/>
        <w:keepLines w:val="0"/>
        <w:pageBreakBefore w:val="0"/>
        <w:widowControl/>
        <w:suppressLineNumbers w:val="0"/>
        <w:kinsoku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2.学校统一将加盖公章后的附件2、附件3（均为电子版）和相关作品，上传至“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吉林省高校思政工作系统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”，上传操作手册另行通知发放。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default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3.系统开放时间为2022年7月18日至2022年7月28日，请各高校于平台开放时间完成报送工作，逾期视为放弃参评。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附件:</w:t>
      </w:r>
      <w:bookmarkStart w:id="2" w:name="_GoBack"/>
      <w:bookmarkEnd w:id="2"/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1.第六届吉林省大学生网络文化节作品创作选题指南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1600" w:firstLineChars="500"/>
        <w:jc w:val="both"/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2.第六届吉林省大学生网络文化节作品征集信息表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1600" w:firstLineChars="500"/>
        <w:jc w:val="both"/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3.第六届吉林省大学生网络文化节作品征集汇总表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before="0" w:beforeAutospacing="0" w:after="0" w:afterAutospacing="0" w:line="600" w:lineRule="exact"/>
        <w:ind w:left="0" w:leftChars="0" w:firstLine="723" w:firstLineChars="200"/>
        <w:jc w:val="both"/>
      </w:pP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0" w:h="16840"/>
          <w:pgMar w:top="2098" w:right="1474" w:bottom="1984" w:left="1587" w:header="851" w:footer="851" w:gutter="0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1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napToGrid/>
        <w:spacing w:before="0" w:beforeAutospacing="0" w:after="0" w:afterAutospacing="0" w:line="600" w:lineRule="exact"/>
        <w:ind w:firstLine="723" w:firstLineChars="200"/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吉林省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大学生网络文化节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作品创作选题指南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1.学习宣传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习近平新时代中国特色社会主义思想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，围绕对“两个确立”的决定性意义的深刻认识，对“十个明确”的深刻内涵及其内在联系、“十三个方面”重大成就蕴含的重大思想观点的理解进行宣传介绍。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2.学习宣传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习近平总书记重要讲话精神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，结合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习近平总书记工作过的重要地方、党的十八大以来习近平总书记国内考察的重要足迹，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在寻访实践中重温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习近平总书记有关重要论述的精神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要义。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3.学习宣传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习近平总书记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关于教育的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重要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论述，结合党的十九大以来，习近平总书记在学校考察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4.学习宣传习近平总书记关于爱国主义教育的重要论述，表达青年学生的爱国之情、强国之志、报国之行。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5.学习宣传习近平法治思想，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弘扬社会主义法治理念、法治精神，培育社会主义法治文化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，不断提升法治意识和法治素养，自觉尊法学法守法用法。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6.献礼党的二十大，聚焦“我们这十年”，展现党的十八大以来取得的历史性成就、发生的历史性变革，坚定中国特色社会主义道路自信、理论自信、制度自信和文化自信。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7.学习宣传中国共产党人的精神谱系，弘扬伟大建党精神，用好红色资源，发扬红色传统，传承红色基因，赓续共产党人精神血脉。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8.学习弘扬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中华优秀传统文化、革命文化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社会主义先进文化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，践行社会主义核心价值观。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9.树牢总体国家安全观，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Hans" w:bidi="ar-SA"/>
        </w:rPr>
        <w:t>从政治安全、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社会安全、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Hans" w:bidi="ar-SA"/>
        </w:rPr>
        <w:t>网络安全、科技安全、生态安全、生物安全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及反奸防谍、反恐防恐、反邪教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Hans" w:bidi="ar-SA"/>
        </w:rPr>
        <w:t>等方面阐释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国家安全教育的重要性，自觉维护国家安全。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10.倡导文明理性健康上网，提升网络素养，增强辨别是非的能力，科学对待和利用网络，积极参与网络文明建设，争做校园好网民，营造清朗网络空间，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共建美好网上精神家园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讲述青年学生在疫情防控、乡村振兴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、科研攻关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等重大行动中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投身祖国、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建功立业的生动事迹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，体现青年学生为服务国家富强、民族复兴、人民幸福贡献力量的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青春风采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12.体现青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年学生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敢为人先、敢于突破的创新精神，实学实干、孜孜不倦、追求卓越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的奋斗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品质，立大志、明大德、成大才、担大任、努力成为堪当民族复兴大任的时代新人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的抱负决心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13.学习弘扬科学家精神，围绕“爱国、创新、求实、奉献、协同、育人”内涵，营造崇尚科学、尊重科学的氛围。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14.讲述非物质文化遗产、中华“老字号”品牌在历史传承与发展过程中的生动故事。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15.挖掘吉林省各地和本校的“四史”学习教育元素，展示健康向上、格调高雅的校园文化活动。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16.倡导留省就业，宣传吉林省在促进人才留吉发展方面的政策，讲述优秀毕业生在吉林大地的就业故事，营造毕业生留省就业创业、留吉发展、在吉生根的良好氛围。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17.倡导新时代爱国卫生运动，普及心理健康知识，培育理性平和、积极向上的健康心态。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18.提升新时代大学生诚信意识，围绕学习学术、助学贷款、就业求职等方面的问题开展诚信教育，营造守信良好氛围。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19.铸牢中华民族共同体意识，增强听党话、感党恩、跟党走的政治自觉、思想自觉和行动自觉，厚植对中华民族的认同感，构建中华民族共有精神家园。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20.扫黑除恶，净化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校园及周边治安综合治理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环境，共建平安校园，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提升广大师生安全感、获得感、幸福感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21.防范电信网络诈骗，提高反诈防骗能力，提升师生自我防护和遵纪守法意识。</w:t>
      </w:r>
    </w:p>
    <w:p>
      <w:pPr>
        <w:keepNext w:val="0"/>
        <w:keepLines w:val="0"/>
        <w:pageBreakBefore w:val="0"/>
        <w:kinsoku/>
        <w:topLinePunct w:val="0"/>
        <w:bidi w:val="0"/>
        <w:snapToGrid/>
        <w:spacing w:beforeAutospacing="0" w:afterAutospacing="0" w:line="600" w:lineRule="exact"/>
        <w:ind w:left="0" w:leftChars="0" w:firstLine="602" w:firstLineChars="200"/>
        <w:jc w:val="both"/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  <w:br w:type="page"/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2</w:t>
      </w:r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届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  <w:lang w:val="en-US" w:eastAsia="zh-CN"/>
        </w:rPr>
        <w:t>吉林省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大学生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</w:rPr>
        <w:t>网络文化节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作品征集信息表</w:t>
      </w:r>
    </w:p>
    <w:tbl>
      <w:tblPr>
        <w:tblStyle w:val="13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推荐单位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□微视频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微电影   □动漫    □摄影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公益广告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音频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11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hint="eastAsia" w:ascii="Times New Roman" w:hAnsi="Times New Roman" w:cs="Times New Roman"/>
          <w:kern w:val="0"/>
          <w:szCs w:val="24"/>
        </w:rPr>
        <w:t>备注：1.电子档标题注明“</w:t>
      </w:r>
      <w:r>
        <w:rPr>
          <w:rFonts w:hint="eastAsia" w:ascii="Times New Roman" w:hAnsi="Times New Roman" w:cs="Times New Roman"/>
          <w:szCs w:val="24"/>
        </w:rPr>
        <w:t>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+信息表</w:t>
      </w:r>
      <w:r>
        <w:rPr>
          <w:rFonts w:hint="eastAsia" w:ascii="Times New Roman" w:hAnsi="Times New Roman" w:cs="Times New Roman"/>
          <w:kern w:val="0"/>
          <w:szCs w:val="24"/>
        </w:rPr>
        <w:t>”。</w:t>
      </w:r>
    </w:p>
    <w:p>
      <w:pPr>
        <w:numPr>
          <w:ilvl w:val="0"/>
          <w:numId w:val="1"/>
        </w:numPr>
        <w:spacing w:line="360" w:lineRule="exact"/>
        <w:ind w:left="630" w:leftChars="0" w:firstLine="0" w:firstLineChars="0"/>
        <w:jc w:val="left"/>
        <w:rPr>
          <w:rFonts w:hint="eastAsia"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个人（团队）自荐不用填写此表。</w:t>
      </w:r>
    </w:p>
    <w:p>
      <w:pP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  <w:br w:type="page"/>
      </w:r>
    </w:p>
    <w:p>
      <w:pPr>
        <w:numPr>
          <w:ilvl w:val="0"/>
          <w:numId w:val="0"/>
        </w:numPr>
        <w:spacing w:line="3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3</w:t>
      </w:r>
    </w:p>
    <w:p>
      <w:pPr>
        <w:widowControl/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b w:val="0"/>
          <w:bCs/>
          <w:kern w:val="0"/>
          <w:sz w:val="30"/>
          <w:szCs w:val="30"/>
        </w:rPr>
        <w:t>第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 w:val="0"/>
          <w:bCs/>
          <w:kern w:val="0"/>
          <w:sz w:val="30"/>
          <w:szCs w:val="30"/>
        </w:rPr>
        <w:t>届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0"/>
          <w:szCs w:val="30"/>
          <w:lang w:val="en-US" w:eastAsia="zh-CN"/>
        </w:rPr>
        <w:t>吉林省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大学生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</w:rPr>
        <w:t>网络文化节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作品征集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</w:rPr>
        <w:t>汇总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表</w:t>
      </w:r>
    </w:p>
    <w:tbl>
      <w:tblPr>
        <w:tblStyle w:val="1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备注：1.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kern w:val="0"/>
          <w:szCs w:val="24"/>
        </w:rPr>
        <w:t>“作品类别+推荐单位名称+汇总表”，每类作品单独一张</w:t>
      </w:r>
      <w:r>
        <w:rPr>
          <w:rFonts w:hint="eastAsia" w:ascii="Times New Roman" w:hAnsi="Times New Roman" w:cs="Times New Roman"/>
          <w:szCs w:val="24"/>
        </w:rPr>
        <w:t>表</w:t>
      </w:r>
      <w:r>
        <w:rPr>
          <w:rFonts w:ascii="Times New Roman" w:hAnsi="Times New Roman" w:cs="Times New Roman"/>
          <w:szCs w:val="24"/>
        </w:rPr>
        <w:t>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2.个人（团队）自荐不用填写此表。</w:t>
      </w:r>
    </w:p>
    <w:sectPr>
      <w:pgSz w:w="11900" w:h="16840"/>
      <w:pgMar w:top="1440" w:right="1559" w:bottom="1440" w:left="1559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FF8EA"/>
    <w:multiLevelType w:val="singleLevel"/>
    <w:tmpl w:val="E5FFF8EA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Y2RkY2RlMGJjYTkxZDAzODgwYzFiNTExZWJkYWE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0360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5613FB2"/>
    <w:rsid w:val="056B1570"/>
    <w:rsid w:val="05855160"/>
    <w:rsid w:val="05BC5F3C"/>
    <w:rsid w:val="05E967FC"/>
    <w:rsid w:val="06323730"/>
    <w:rsid w:val="065D35AE"/>
    <w:rsid w:val="06E95A55"/>
    <w:rsid w:val="071F3B4C"/>
    <w:rsid w:val="077B0164"/>
    <w:rsid w:val="07C36389"/>
    <w:rsid w:val="07EE100C"/>
    <w:rsid w:val="08C93C26"/>
    <w:rsid w:val="090D6098"/>
    <w:rsid w:val="0AD83037"/>
    <w:rsid w:val="0BE635AA"/>
    <w:rsid w:val="0C474A52"/>
    <w:rsid w:val="0C987B3B"/>
    <w:rsid w:val="0D4B1C6A"/>
    <w:rsid w:val="0DE6032D"/>
    <w:rsid w:val="0E4C4A90"/>
    <w:rsid w:val="0E787DEF"/>
    <w:rsid w:val="0E886297"/>
    <w:rsid w:val="10E5221C"/>
    <w:rsid w:val="11DE2679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6DC739F"/>
    <w:rsid w:val="17B9172B"/>
    <w:rsid w:val="17D34884"/>
    <w:rsid w:val="18C54E6D"/>
    <w:rsid w:val="19597430"/>
    <w:rsid w:val="1A004525"/>
    <w:rsid w:val="1A7C49EE"/>
    <w:rsid w:val="1ADF3C68"/>
    <w:rsid w:val="1B1F6648"/>
    <w:rsid w:val="1B3C15F9"/>
    <w:rsid w:val="1BC872C4"/>
    <w:rsid w:val="1BF4229D"/>
    <w:rsid w:val="1BFB6D69"/>
    <w:rsid w:val="1C254366"/>
    <w:rsid w:val="1C653AF4"/>
    <w:rsid w:val="1D202A25"/>
    <w:rsid w:val="1D2042EE"/>
    <w:rsid w:val="1E6855ED"/>
    <w:rsid w:val="1EC5556F"/>
    <w:rsid w:val="1F2C157D"/>
    <w:rsid w:val="1FF91072"/>
    <w:rsid w:val="200A1D1B"/>
    <w:rsid w:val="20B35E4D"/>
    <w:rsid w:val="20EF7E31"/>
    <w:rsid w:val="21B46321"/>
    <w:rsid w:val="220D7822"/>
    <w:rsid w:val="22D13A9F"/>
    <w:rsid w:val="22D30A28"/>
    <w:rsid w:val="238A7FB4"/>
    <w:rsid w:val="24443A10"/>
    <w:rsid w:val="245371C5"/>
    <w:rsid w:val="24944DF6"/>
    <w:rsid w:val="24CA05D2"/>
    <w:rsid w:val="25B559BF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64F0A92"/>
    <w:rsid w:val="36615648"/>
    <w:rsid w:val="37D041F9"/>
    <w:rsid w:val="38040299"/>
    <w:rsid w:val="38B21448"/>
    <w:rsid w:val="39304D1F"/>
    <w:rsid w:val="39387087"/>
    <w:rsid w:val="3947431A"/>
    <w:rsid w:val="394F2810"/>
    <w:rsid w:val="39B926F7"/>
    <w:rsid w:val="3A534537"/>
    <w:rsid w:val="3ABC7B9C"/>
    <w:rsid w:val="3ADE02F2"/>
    <w:rsid w:val="3B645349"/>
    <w:rsid w:val="3BD86C58"/>
    <w:rsid w:val="3C371B2B"/>
    <w:rsid w:val="3C622294"/>
    <w:rsid w:val="3C624A8E"/>
    <w:rsid w:val="3CFA79FB"/>
    <w:rsid w:val="3DB443FE"/>
    <w:rsid w:val="3DFB09DB"/>
    <w:rsid w:val="3E194C65"/>
    <w:rsid w:val="3EAD3546"/>
    <w:rsid w:val="3EC4371A"/>
    <w:rsid w:val="3F657143"/>
    <w:rsid w:val="41B72F70"/>
    <w:rsid w:val="42030870"/>
    <w:rsid w:val="42431FC7"/>
    <w:rsid w:val="427547D3"/>
    <w:rsid w:val="43212C92"/>
    <w:rsid w:val="434309D9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BA4E8E"/>
    <w:rsid w:val="490A0477"/>
    <w:rsid w:val="495C7633"/>
    <w:rsid w:val="4A595AB5"/>
    <w:rsid w:val="4AE74D0E"/>
    <w:rsid w:val="4B2903C8"/>
    <w:rsid w:val="4B7B39C9"/>
    <w:rsid w:val="4C1B6D1E"/>
    <w:rsid w:val="4C3279E8"/>
    <w:rsid w:val="4D0C6BEC"/>
    <w:rsid w:val="4D595CAA"/>
    <w:rsid w:val="4F436390"/>
    <w:rsid w:val="4F575843"/>
    <w:rsid w:val="4F8E54C1"/>
    <w:rsid w:val="4FD62E0A"/>
    <w:rsid w:val="50D26836"/>
    <w:rsid w:val="50EE1CF2"/>
    <w:rsid w:val="51105B67"/>
    <w:rsid w:val="513616BA"/>
    <w:rsid w:val="5138229A"/>
    <w:rsid w:val="523F4675"/>
    <w:rsid w:val="52A00537"/>
    <w:rsid w:val="53251CA2"/>
    <w:rsid w:val="53734A39"/>
    <w:rsid w:val="562C1C22"/>
    <w:rsid w:val="5689613E"/>
    <w:rsid w:val="56F3561D"/>
    <w:rsid w:val="57DA7156"/>
    <w:rsid w:val="57E6382B"/>
    <w:rsid w:val="5AC37341"/>
    <w:rsid w:val="5AC42BBC"/>
    <w:rsid w:val="5AD9663A"/>
    <w:rsid w:val="5B0F5D92"/>
    <w:rsid w:val="5BA607C0"/>
    <w:rsid w:val="5BEC60DC"/>
    <w:rsid w:val="5BF16C10"/>
    <w:rsid w:val="5C207003"/>
    <w:rsid w:val="5C2D3C57"/>
    <w:rsid w:val="5CEB531F"/>
    <w:rsid w:val="5CED50CC"/>
    <w:rsid w:val="5D4702CB"/>
    <w:rsid w:val="5D563D28"/>
    <w:rsid w:val="5E3C6FFB"/>
    <w:rsid w:val="5E4A026A"/>
    <w:rsid w:val="5ED15CCF"/>
    <w:rsid w:val="5EE65E41"/>
    <w:rsid w:val="5F6146B0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764951"/>
    <w:rsid w:val="63316ACA"/>
    <w:rsid w:val="64264155"/>
    <w:rsid w:val="64644A6C"/>
    <w:rsid w:val="64F36FD8"/>
    <w:rsid w:val="659665D1"/>
    <w:rsid w:val="65A33178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E1D2124"/>
    <w:rsid w:val="6E1F7C4B"/>
    <w:rsid w:val="6E526272"/>
    <w:rsid w:val="6EB321F9"/>
    <w:rsid w:val="6EFA14E0"/>
    <w:rsid w:val="6F212F57"/>
    <w:rsid w:val="6F282317"/>
    <w:rsid w:val="6FA431BE"/>
    <w:rsid w:val="6FAC7C04"/>
    <w:rsid w:val="70A714D2"/>
    <w:rsid w:val="710508AD"/>
    <w:rsid w:val="711E4614"/>
    <w:rsid w:val="71862A12"/>
    <w:rsid w:val="71926986"/>
    <w:rsid w:val="719E1A11"/>
    <w:rsid w:val="721C73F3"/>
    <w:rsid w:val="72503220"/>
    <w:rsid w:val="73DC078F"/>
    <w:rsid w:val="73FE1B5C"/>
    <w:rsid w:val="75791B78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93954E6"/>
    <w:rsid w:val="794D439D"/>
    <w:rsid w:val="79876281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  <w:rsid w:val="7FF73D73"/>
    <w:rsid w:val="CFDF51DF"/>
    <w:rsid w:val="DF73B543"/>
    <w:rsid w:val="F5AFE623"/>
    <w:rsid w:val="FFFD3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rFonts w:ascii="Heiti SC Light" w:eastAsia="Times New Roman" w:cs="Heiti SC Light"/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rFonts w:cs="Times New Roman"/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批注框文本 Char"/>
    <w:basedOn w:val="15"/>
    <w:link w:val="7"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21">
    <w:name w:val="页眉 Char"/>
    <w:basedOn w:val="15"/>
    <w:link w:val="9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Char"/>
    <w:basedOn w:val="15"/>
    <w:link w:val="8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日期 Char"/>
    <w:basedOn w:val="15"/>
    <w:link w:val="6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6">
    <w:name w:val="HTML 预设格式 Char"/>
    <w:basedOn w:val="15"/>
    <w:link w:val="10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批注文字 Char"/>
    <w:basedOn w:val="15"/>
    <w:link w:val="5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8">
    <w:name w:val="批注主题 Char"/>
    <w:basedOn w:val="27"/>
    <w:link w:val="12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9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正文格式"/>
    <w:basedOn w:val="1"/>
    <w:link w:val="32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2">
    <w:name w:val="正文格式 Char"/>
    <w:link w:val="31"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3">
    <w:name w:val="标题 1 Char"/>
    <w:basedOn w:val="15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4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13</Pages>
  <Words>4774</Words>
  <Characters>5434</Characters>
  <Lines>41</Lines>
  <Paragraphs>11</Paragraphs>
  <TotalTime>3</TotalTime>
  <ScaleCrop>false</ScaleCrop>
  <LinksUpToDate>false</LinksUpToDate>
  <CharactersWithSpaces>5667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2020-10-13T08:59:00Z</dcterms:created>
  <dc:creator>Microsoft Office 用户</dc:creator>
  <cp:lastModifiedBy>张立军</cp:lastModifiedBy>
  <cp:lastPrinted>2022-03-31T12:17:00Z</cp:lastPrinted>
  <dcterms:modified xsi:type="dcterms:W3CDTF">2022-05-18T07:33:58Z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0FCA1090FE444A4B8721B7B985142AD4</vt:lpwstr>
  </property>
  <property fmtid="{D5CDD505-2E9C-101B-9397-08002B2CF9AE}" pid="4" name="commondata">
    <vt:lpwstr>eyJoZGlkIjoiNmU1Y2RkY2RlMGJjYTkxZDAzODgwYzFiNTExZWJkYWEifQ==</vt:lpwstr>
  </property>
</Properties>
</file>